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2021</w:t>
      </w:r>
      <w:r>
        <w:rPr>
          <w:rFonts w:hint="eastAsia" w:hAnsi="宋体" w:eastAsia="仿宋_GB2312" w:cs="宋体"/>
          <w:kern w:val="0"/>
          <w:sz w:val="36"/>
          <w:szCs w:val="36"/>
        </w:rPr>
        <w:t>年度）</w:t>
      </w: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700" w:lineRule="exact"/>
        <w:jc w:val="left"/>
        <w:rPr>
          <w:rFonts w:hint="eastAsia" w:hAnsi="宋体" w:eastAsia="仿宋_GB2312" w:cs="宋体"/>
          <w:kern w:val="0"/>
          <w:sz w:val="36"/>
          <w:szCs w:val="36"/>
          <w:lang w:eastAsia="zh-CN"/>
        </w:rPr>
      </w:pPr>
    </w:p>
    <w:p>
      <w:pPr>
        <w:spacing w:line="540" w:lineRule="exact"/>
        <w:ind w:firstLine="567"/>
        <w:rPr>
          <w:rFonts w:hAnsi="宋体" w:eastAsia="仿宋_GB2312" w:cs="宋体"/>
          <w:b w:val="0"/>
          <w:bCs w:val="0"/>
          <w:kern w:val="0"/>
          <w:sz w:val="36"/>
          <w:szCs w:val="36"/>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36"/>
          <w:szCs w:val="36"/>
        </w:rPr>
        <w:t>克州维吾尔医医院</w:t>
      </w:r>
    </w:p>
    <w:p>
      <w:pPr>
        <w:spacing w:line="540" w:lineRule="exact"/>
        <w:ind w:left="273" w:firstLine="567"/>
        <w:jc w:val="both"/>
        <w:rPr>
          <w:rStyle w:val="6"/>
          <w:rFonts w:hint="eastAsia" w:ascii="仿宋" w:hAnsi="仿宋" w:eastAsia="仿宋" w:cs="仿宋"/>
          <w:b w:val="0"/>
          <w:bCs w:val="0"/>
          <w:spacing w:val="-4"/>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36"/>
          <w:szCs w:val="36"/>
        </w:rPr>
        <w:t>2022年03月04日</w:t>
      </w:r>
    </w:p>
    <w:p>
      <w:pPr>
        <w:rPr>
          <w:rStyle w:val="6"/>
          <w:rFonts w:hint="eastAsia" w:ascii="仿宋" w:hAnsi="仿宋" w:eastAsia="仿宋" w:cs="仿宋"/>
          <w:b w:val="0"/>
          <w:bCs w:val="0"/>
          <w:spacing w:val="-4"/>
          <w:sz w:val="44"/>
          <w:szCs w:val="44"/>
        </w:rPr>
      </w:pPr>
      <w:r>
        <w:rPr>
          <w:rStyle w:val="6"/>
          <w:rFonts w:hint="eastAsia" w:ascii="仿宋" w:hAnsi="仿宋" w:eastAsia="仿宋" w:cs="仿宋"/>
          <w:b w:val="0"/>
          <w:bCs w:val="0"/>
          <w:spacing w:val="-4"/>
          <w:sz w:val="44"/>
          <w:szCs w:val="44"/>
        </w:rPr>
        <w:br w:type="page"/>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基本概况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bookmarkStart w:id="1" w:name="_GoBack"/>
      <w:r>
        <w:rPr>
          <w:rFonts w:hint="eastAsia" w:ascii="仿宋_GB2312" w:hAnsi="宋体" w:eastAsia="仿宋_GB2312"/>
          <w:b w:val="0"/>
          <w:bCs/>
          <w:sz w:val="32"/>
          <w:szCs w:val="32"/>
        </w:rPr>
        <w:t>部门单位基本情况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1.主要职能</w:t>
      </w:r>
      <w:r>
        <w:rPr>
          <w:rFonts w:hint="eastAsia" w:ascii="仿宋_GB2312" w:hAnsi="宋体" w:eastAsia="仿宋_GB2312"/>
          <w:b w:val="0"/>
          <w:bCs/>
          <w:sz w:val="32"/>
          <w:szCs w:val="32"/>
        </w:rPr>
        <w:cr/>
      </w:r>
      <w:r>
        <w:rPr>
          <w:rFonts w:hint="eastAsia" w:ascii="仿宋_GB2312" w:hAnsi="宋体" w:eastAsia="仿宋_GB2312"/>
          <w:b w:val="0"/>
          <w:bCs/>
          <w:sz w:val="32"/>
          <w:szCs w:val="32"/>
        </w:rPr>
        <w:t>　　医院在自治州党委、人民政府的坚强领导下和上级卫生主管部门的关心支持下，我院是唯一一所二级甲等维吾尔医综合医院，同时又是克州维吾尔医骨科研究中心.现已是克州地区医疗保险、商业保险、城乡居民医疗保险和交通事故救治的医疗单位。</w:t>
      </w:r>
      <w:r>
        <w:rPr>
          <w:rFonts w:hint="eastAsia" w:ascii="仿宋_GB2312" w:hAnsi="宋体" w:eastAsia="仿宋_GB2312"/>
          <w:b w:val="0"/>
          <w:bCs/>
          <w:sz w:val="32"/>
          <w:szCs w:val="32"/>
        </w:rPr>
        <w:cr/>
      </w:r>
      <w:r>
        <w:rPr>
          <w:rFonts w:hint="eastAsia" w:ascii="仿宋_GB2312" w:hAnsi="宋体" w:eastAsia="仿宋_GB2312"/>
          <w:b w:val="0"/>
          <w:bCs/>
          <w:sz w:val="32"/>
          <w:szCs w:val="32"/>
        </w:rPr>
        <w:t>　　2.机构设置及人员情况</w:t>
      </w:r>
      <w:r>
        <w:rPr>
          <w:rFonts w:hint="eastAsia" w:ascii="仿宋_GB2312" w:hAnsi="宋体" w:eastAsia="仿宋_GB2312"/>
          <w:b w:val="0"/>
          <w:bCs/>
          <w:sz w:val="32"/>
          <w:szCs w:val="32"/>
        </w:rPr>
        <w:cr/>
      </w:r>
      <w:r>
        <w:rPr>
          <w:rFonts w:hint="eastAsia" w:ascii="仿宋_GB2312" w:hAnsi="宋体" w:eastAsia="仿宋_GB2312"/>
          <w:b w:val="0"/>
          <w:bCs/>
          <w:sz w:val="32"/>
          <w:szCs w:val="32"/>
        </w:rPr>
        <w:t>克州维吾尔医医院单位无下属预算单位，下设26个科室，职能科室14个、临床及医技科室12个，克州维吾尔医医院单位编制数144,在职人员169人、退休42人。</w:t>
      </w:r>
      <w:r>
        <w:rPr>
          <w:rFonts w:hint="eastAsia" w:ascii="仿宋_GB2312" w:hAnsi="宋体" w:eastAsia="仿宋_GB2312"/>
          <w:b w:val="0"/>
          <w:bCs/>
          <w:sz w:val="32"/>
          <w:szCs w:val="32"/>
        </w:rPr>
        <w:cr/>
      </w:r>
      <w:r>
        <w:rPr>
          <w:rFonts w:hint="eastAsia" w:ascii="仿宋_GB2312" w:hAnsi="宋体" w:eastAsia="仿宋_GB2312"/>
          <w:b w:val="0"/>
          <w:bCs/>
          <w:sz w:val="32"/>
          <w:szCs w:val="32"/>
        </w:rPr>
        <w:t>　　3.年底重点工作</w:t>
      </w:r>
      <w:r>
        <w:rPr>
          <w:rFonts w:hint="eastAsia" w:ascii="仿宋_GB2312" w:hAnsi="宋体" w:eastAsia="仿宋_GB2312"/>
          <w:b w:val="0"/>
          <w:bCs/>
          <w:sz w:val="32"/>
          <w:szCs w:val="32"/>
          <w:lang w:eastAsia="zh-CN"/>
        </w:rPr>
        <w:t>计划</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保障在职职工及退休职工工资、社保、奖金、住房公积金等。保障单位各项日常工作正常有序的运行。加强和规范公立医院管理，优化医疗卫生资源配置，提高医疗卫生质量和管理水平圆满完成群众各项工作任务，积极为农民办好事、顺利开展乡村各项工作、解决农民等各种困难，各支下乡工作对圆满完成各项工作任务，积极为农民办实事，帮助农民脱贫致富，解决农民生活生产等工作困难。</w:t>
      </w:r>
    </w:p>
    <w:p>
      <w:pPr>
        <w:keepNext w:val="0"/>
        <w:keepLines w:val="0"/>
        <w:pageBreakBefore w:val="0"/>
        <w:widowControl w:val="0"/>
        <w:numPr>
          <w:numId w:val="0"/>
        </w:numPr>
        <w:kinsoku/>
        <w:wordWrap/>
        <w:overflowPunct/>
        <w:topLinePunct w:val="0"/>
        <w:autoSpaceDE/>
        <w:autoSpaceDN/>
        <w:bidi w:val="0"/>
        <w:adjustRightInd/>
        <w:snapToGrid/>
        <w:spacing w:line="240" w:lineRule="auto"/>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　　（二）决策过程</w:t>
      </w:r>
      <w:r>
        <w:rPr>
          <w:rFonts w:hint="eastAsia" w:ascii="仿宋_GB2312" w:hAnsi="宋体" w:eastAsia="仿宋_GB2312"/>
          <w:b w:val="0"/>
          <w:bCs/>
          <w:sz w:val="32"/>
          <w:szCs w:val="32"/>
        </w:rPr>
        <w:cr/>
      </w:r>
      <w:r>
        <w:rPr>
          <w:rFonts w:hint="eastAsia" w:ascii="仿宋_GB2312" w:hAnsi="宋体" w:eastAsia="仿宋_GB2312"/>
          <w:b w:val="0"/>
          <w:bCs/>
          <w:sz w:val="32"/>
          <w:szCs w:val="32"/>
        </w:rPr>
        <w:t>　　为有效实施本单位内部控制管理工作，加强风险防控机制建设，进一步提高单位内部管理水平，规范各项内部经济活动，依据《中华人民共和国会计法》、《中华人民共和国预算法》、《行政事业单位内部控制规范（试行）》等法律法规和有关规定，本单位制定了《克州维吾尔医医院单位内部控制规范》，主要内容包括如下几个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1.单位层面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层面确定了单位内部控制工作组织架构。办公室负责牵头建立内部控制体系，研究制定各项内部控制管理制度，组织协调内部控制日常工作，对所实物资产进行管理。各部门配合内部控制牵头部门对所内相关的经济活动进行流程梳理，提出具体的内部控制措施和手段；认真执行内部控制管理制度，落实相关工作要求。</w:t>
      </w:r>
      <w:r>
        <w:rPr>
          <w:rFonts w:hint="eastAsia" w:ascii="仿宋_GB2312" w:hAnsi="宋体" w:eastAsia="仿宋_GB2312"/>
          <w:b w:val="0"/>
          <w:bCs/>
          <w:sz w:val="32"/>
          <w:szCs w:val="32"/>
        </w:rPr>
        <w:cr/>
      </w:r>
      <w:r>
        <w:rPr>
          <w:rFonts w:hint="eastAsia" w:ascii="仿宋_GB2312" w:hAnsi="宋体" w:eastAsia="仿宋_GB2312"/>
          <w:b w:val="0"/>
          <w:bCs/>
          <w:sz w:val="32"/>
          <w:szCs w:val="32"/>
        </w:rPr>
        <w:t>　　单位内部控制依托的重大事项议事机制，决策、执行和监督相分离机制等工作机制；重大经济活动事项的决策形式是单位领导班子会议。涉及单位重大经济活动事项，必须列入单位班子会议研究、审议和决策。会议决议经党组主要领导审签后在一定范围内发布。重大经济活动事项的决议经审定后由分管领导负责实施，由会议确定的责任部门具体执行。各责任部门按照“谁主管、谁负责”的原则，对决策执行实施责任分解，将责任落实到人。同时，单位层面内部控制机制还包括：内部风险控制机制、岗位控制机制、不相容岗位分离机制、授权审批流程；关键岗位工作人员的管理、培训、评价和轮岗等机制。</w:t>
      </w:r>
      <w:r>
        <w:rPr>
          <w:rFonts w:hint="eastAsia" w:ascii="仿宋_GB2312" w:hAnsi="宋体" w:eastAsia="仿宋_GB2312"/>
          <w:b w:val="0"/>
          <w:bCs/>
          <w:sz w:val="32"/>
          <w:szCs w:val="32"/>
        </w:rPr>
        <w:cr/>
      </w:r>
      <w:r>
        <w:rPr>
          <w:rFonts w:hint="eastAsia" w:ascii="仿宋_GB2312" w:hAnsi="宋体" w:eastAsia="仿宋_GB2312"/>
          <w:b w:val="0"/>
          <w:bCs/>
          <w:sz w:val="32"/>
          <w:szCs w:val="32"/>
        </w:rPr>
        <w:t>　　2.业务层面</w:t>
      </w:r>
      <w:r>
        <w:rPr>
          <w:rFonts w:hint="eastAsia" w:ascii="仿宋_GB2312" w:hAnsi="宋体" w:eastAsia="仿宋_GB2312"/>
          <w:b w:val="0"/>
          <w:bCs/>
          <w:sz w:val="32"/>
          <w:szCs w:val="32"/>
        </w:rPr>
        <w:cr/>
      </w:r>
      <w:r>
        <w:rPr>
          <w:rFonts w:hint="eastAsia" w:ascii="仿宋_GB2312" w:hAnsi="宋体" w:eastAsia="仿宋_GB2312"/>
          <w:b w:val="0"/>
          <w:bCs/>
          <w:sz w:val="32"/>
          <w:szCs w:val="32"/>
        </w:rPr>
        <w:t>　　业务层面建立了部门预算管理办法、财务收支管理办法、固定资产管理办法、办公用品采购保管领用管理办法、采购管理办法、合同业务管理办法、会计业务管理办法等。</w:t>
      </w:r>
      <w:r>
        <w:rPr>
          <w:rFonts w:hint="eastAsia" w:ascii="仿宋_GB2312" w:hAnsi="宋体" w:eastAsia="仿宋_GB2312"/>
          <w:b w:val="0"/>
          <w:bCs/>
          <w:sz w:val="32"/>
          <w:szCs w:val="32"/>
        </w:rPr>
        <w:cr/>
      </w:r>
      <w:r>
        <w:rPr>
          <w:rFonts w:hint="eastAsia" w:ascii="仿宋_GB2312" w:hAnsi="宋体" w:eastAsia="仿宋_GB2312"/>
          <w:b w:val="0"/>
          <w:bCs/>
          <w:sz w:val="32"/>
          <w:szCs w:val="32"/>
        </w:rPr>
        <w:t>　　（1）预算管理：领导班子是预算管理决策机构，负责研究单位年度预算、财政信息公开、预算绩效管理等重大事项。</w:t>
      </w:r>
      <w:r>
        <w:rPr>
          <w:rFonts w:hint="eastAsia" w:ascii="仿宋_GB2312" w:hAnsi="宋体" w:eastAsia="仿宋_GB2312"/>
          <w:b w:val="0"/>
          <w:bCs/>
          <w:sz w:val="32"/>
          <w:szCs w:val="32"/>
        </w:rPr>
        <w:cr/>
      </w:r>
      <w:r>
        <w:rPr>
          <w:rFonts w:hint="eastAsia" w:ascii="仿宋_GB2312" w:hAnsi="宋体" w:eastAsia="仿宋_GB2312"/>
          <w:b w:val="0"/>
          <w:bCs/>
          <w:sz w:val="32"/>
          <w:szCs w:val="32"/>
        </w:rPr>
        <w:t>　　（2）收支管理：领导层是本单位收支业务管理的决策部门，负责审批单位收支业务等事项。涉及“三重一大”事项，根据《克州维吾尔医医院集体决策制度》和《克州维吾尔医医院项目管理办法》办理。</w:t>
      </w:r>
      <w:r>
        <w:rPr>
          <w:rFonts w:hint="eastAsia" w:ascii="仿宋_GB2312" w:hAnsi="宋体" w:eastAsia="仿宋_GB2312"/>
          <w:b w:val="0"/>
          <w:bCs/>
          <w:sz w:val="32"/>
          <w:szCs w:val="32"/>
        </w:rPr>
        <w:cr/>
      </w:r>
      <w:r>
        <w:rPr>
          <w:rFonts w:hint="eastAsia" w:ascii="仿宋_GB2312" w:hAnsi="宋体" w:eastAsia="仿宋_GB2312"/>
          <w:b w:val="0"/>
          <w:bCs/>
          <w:sz w:val="32"/>
          <w:szCs w:val="32"/>
        </w:rPr>
        <w:t>　　（3）固定资产管理：办公室是本单位固定资产综合管理部门，负责牵头组织协调固定资产使用管理过程中的相关工作；办公室为本单位机关实物资产的牵头管理部门，负责实物资产的监管与指导；办公室负责机关实物资产的申购与分配；各部门为实物资产的具体使用和保管部门，对其完整性负责。</w:t>
      </w:r>
      <w:r>
        <w:rPr>
          <w:rFonts w:hint="eastAsia" w:ascii="仿宋_GB2312" w:hAnsi="宋体" w:eastAsia="仿宋_GB2312"/>
          <w:b w:val="0"/>
          <w:bCs/>
          <w:sz w:val="32"/>
          <w:szCs w:val="32"/>
        </w:rPr>
        <w:cr/>
      </w:r>
      <w:r>
        <w:rPr>
          <w:rFonts w:hint="eastAsia" w:ascii="仿宋_GB2312" w:hAnsi="宋体" w:eastAsia="仿宋_GB2312"/>
          <w:b w:val="0"/>
          <w:bCs/>
          <w:sz w:val="32"/>
          <w:szCs w:val="32"/>
        </w:rPr>
        <w:t>　　（4）办公用品采购保管领用管理：办公用品的采购工作，在分管办公室的领导监督指导下，由办公室主任审核后，办公室负责统一集中采购，其他部门和个人不得擅自采购。所有办公用品的采购、保管、发放，均由办公室确定专人负责。各科室凭《办公用品领用申请单》提出办公用品领用申请，申请单需由各部门负责人审批。办公室仓库管理员根据领用申请单进行办公用品出库发放，并由仓库管理员和领用人分别签字确认。单位机关办公用品采购主要采取政府采购和一般零星采购两种形式。凡符合政府采购要求的，遵照《地方预算单位政府采购管理办法》执行。</w:t>
      </w:r>
      <w:r>
        <w:rPr>
          <w:rFonts w:hint="eastAsia" w:ascii="仿宋_GB2312" w:hAnsi="宋体" w:eastAsia="仿宋_GB2312"/>
          <w:b w:val="0"/>
          <w:bCs/>
          <w:sz w:val="32"/>
          <w:szCs w:val="32"/>
        </w:rPr>
        <w:cr/>
      </w:r>
      <w:r>
        <w:rPr>
          <w:rFonts w:hint="eastAsia" w:ascii="仿宋_GB2312" w:hAnsi="宋体" w:eastAsia="仿宋_GB2312"/>
          <w:b w:val="0"/>
          <w:bCs/>
          <w:sz w:val="32"/>
          <w:szCs w:val="32"/>
        </w:rPr>
        <w:t>　　（5）合同业务管理：按照《克州维吾尔医医院合同管理办法》相关规定，克州维吾尔医医院做好合同相关事宜。单位合同审核主体、内容及程序;单位法务介入条件与环节；单位合同台账设置及管理要求;单位合同章种类、使用权限及使用范围;单位合同执行监督机制；单位合同执行归档制度；</w:t>
      </w:r>
      <w:r>
        <w:rPr>
          <w:rFonts w:hint="eastAsia" w:ascii="仿宋_GB2312" w:hAnsi="宋体" w:eastAsia="仿宋_GB2312"/>
          <w:b w:val="0"/>
          <w:bCs/>
          <w:sz w:val="32"/>
          <w:szCs w:val="32"/>
        </w:rPr>
        <w:cr/>
      </w:r>
      <w:r>
        <w:rPr>
          <w:rFonts w:hint="eastAsia" w:ascii="仿宋_GB2312" w:hAnsi="宋体" w:eastAsia="仿宋_GB2312"/>
          <w:b w:val="0"/>
          <w:bCs/>
          <w:sz w:val="32"/>
          <w:szCs w:val="32"/>
        </w:rPr>
        <w:t>　　（6）会计业务管理办法：会计业务管理的基本原则是：坚决贯彻执行国家的有关财经方针、政策、会计法规及各项财务制度，任何人不得在政策法规范围之外，自作主张处理财务问题。充分发挥会计工作的核算、监督作用，严格执行各项费用开支标准，正确使用和管理各项资金。严格内部相互制约制度，严禁由一个人全程包办会计事项的支付业务。加强现金管理，严格按照现金使用范围支取现金，无白条抵库，无坐支现象。严格遵守银行、现金管理制度，通过银行收支款项，不得坐支现金。按月核对银行存款，盘点库存现金，日清月结，确保账实相符。单位财务支出严格执行法定代表人“一支笔”签字制度，报销单据必须合法，真实，有效。单据应由经办人、主任签字后方可报销，专项经费的管理。坚持转款专用的原则，严格分清农村公路建设专项资金与日常公用经费的支出界限。对专项资金的核算，按项目分别进行明细核算。</w:t>
      </w:r>
      <w:r>
        <w:rPr>
          <w:rFonts w:hint="eastAsia" w:ascii="仿宋_GB2312" w:hAnsi="宋体" w:eastAsia="仿宋_GB2312"/>
          <w:b w:val="0"/>
          <w:bCs/>
          <w:sz w:val="32"/>
          <w:szCs w:val="32"/>
        </w:rPr>
        <w:cr/>
      </w:r>
      <w:r>
        <w:rPr>
          <w:rFonts w:hint="eastAsia" w:ascii="仿宋_GB2312" w:hAnsi="宋体" w:eastAsia="仿宋_GB2312"/>
          <w:b w:val="0"/>
          <w:bCs/>
          <w:sz w:val="32"/>
          <w:szCs w:val="32"/>
        </w:rPr>
        <w:t>　　（二）单位资金分配情况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1.部门（单位）预算编制及分配依据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本单位预算编制坚持量入为出、保障重点的原则?，对项目支出按照轻重缓急程度实行分类排序，统筹安排部门预算。2021年本单位安排项目预算时将项目支出进行细化，细化成单价、数量，单价以行业标准、市场数据以及历史数据作为编制依据进行核算，数量以实际需求等资料为依据进行测算。人员经费预算和公用经费预算均按照定额标准编制，预算与部门活动相匹配。</w:t>
      </w:r>
      <w:r>
        <w:rPr>
          <w:rFonts w:hint="eastAsia" w:ascii="仿宋_GB2312" w:hAnsi="宋体" w:eastAsia="仿宋_GB2312"/>
          <w:b w:val="0"/>
          <w:bCs/>
          <w:sz w:val="32"/>
          <w:szCs w:val="32"/>
        </w:rPr>
        <w:cr/>
      </w:r>
      <w:r>
        <w:rPr>
          <w:rFonts w:hint="eastAsia" w:ascii="仿宋_GB2312" w:hAnsi="宋体" w:eastAsia="仿宋_GB2312"/>
          <w:b w:val="0"/>
          <w:bCs/>
          <w:sz w:val="32"/>
          <w:szCs w:val="32"/>
        </w:rPr>
        <w:t>　　2.分配结果</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以年度工作计划与战略目标、中长期规划及各条线工作要求为资金分配依据，严格按照《中华人民共和国预算法》、《中华人民共和国预算法实施条例》规定分配本单位资金，2021年度本单位基本支出安排资金3,714.97 万元，项目支出安排资金375.00万元。经对比分析我单位近三年预算执行情况和经常性项目预算执行情况，结果显示：我单位基本支出预算与历史数据相比平稳、合理；项目支出预算与部门履职、年度重点工作相匹配，体现了重要性原则，预算编制科学、合理。</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我单位牢固树立全面绩效管理理念，将预算绩效管理融入预算各类项目资金，将绩效理念融入预算各个层级，将绩效方法融入预算各项流程，严格按照政策要求编制部门整体支出绩效目标和项目支出绩效目标，切实实现预算编制有目标，确保了资金分配与绩效目标的一致性，实现预算绩效全覆盖。</w:t>
      </w:r>
      <w:r>
        <w:rPr>
          <w:rFonts w:hint="eastAsia" w:ascii="仿宋_GB2312" w:hAnsi="宋体" w:eastAsia="仿宋_GB2312"/>
          <w:b w:val="0"/>
          <w:bCs/>
          <w:sz w:val="32"/>
          <w:szCs w:val="32"/>
        </w:rPr>
        <w:cr/>
      </w:r>
      <w:r>
        <w:rPr>
          <w:rFonts w:hint="eastAsia" w:ascii="仿宋_GB2312" w:hAnsi="宋体" w:eastAsia="仿宋_GB2312"/>
          <w:b w:val="0"/>
          <w:bCs/>
          <w:sz w:val="32"/>
          <w:szCs w:val="32"/>
        </w:rPr>
        <w:t>　　3.重点支出保障率</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本单位2021年度项目支出374.99 万元，涉及项目数量3个，其中：重点项目支出200万元，涉及重点项目数量1个，重点项目支出与部门项目总支出的比率为53.33%。</w:t>
      </w:r>
      <w:r>
        <w:rPr>
          <w:rFonts w:hint="eastAsia" w:ascii="仿宋_GB2312" w:hAnsi="宋体" w:eastAsia="仿宋_GB2312"/>
          <w:b w:val="0"/>
          <w:bCs/>
          <w:sz w:val="32"/>
          <w:szCs w:val="32"/>
        </w:rPr>
        <w:cr/>
      </w:r>
      <w:r>
        <w:rPr>
          <w:rFonts w:hint="eastAsia" w:ascii="仿宋_GB2312" w:hAnsi="宋体" w:eastAsia="仿宋_GB2312"/>
          <w:b w:val="0"/>
          <w:bCs/>
          <w:sz w:val="32"/>
          <w:szCs w:val="32"/>
        </w:rPr>
        <w:t>　　（二）部门单位整体支出规模</w:t>
      </w:r>
      <w:r>
        <w:rPr>
          <w:rFonts w:hint="eastAsia" w:ascii="仿宋_GB2312" w:hAnsi="宋体" w:eastAsia="仿宋_GB2312"/>
          <w:b w:val="0"/>
          <w:bCs/>
          <w:sz w:val="32"/>
          <w:szCs w:val="32"/>
        </w:rPr>
        <w:cr/>
      </w:r>
      <w:r>
        <w:rPr>
          <w:rFonts w:hint="eastAsia" w:ascii="仿宋_GB2312" w:hAnsi="宋体" w:eastAsia="仿宋_GB2312"/>
          <w:b w:val="0"/>
          <w:bCs/>
          <w:sz w:val="32"/>
          <w:szCs w:val="32"/>
        </w:rPr>
        <w:t>　　1.全年预算执行情况分析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2021年度本单位年初批复部门预算资金总额为3043.68万元，年中调增预算总额为1046.28万元，调整后全年预算资金总额为4,089.96万元。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2021年度本单位部门整体支出资金总额为4,089.96万元，预算执行率为100%，预算调整率为</w:t>
      </w:r>
      <w:r>
        <w:rPr>
          <w:rFonts w:hint="eastAsia" w:ascii="仿宋_GB2312" w:hAnsi="宋体" w:eastAsia="仿宋_GB2312"/>
          <w:b w:val="0"/>
          <w:bCs/>
          <w:sz w:val="32"/>
          <w:szCs w:val="32"/>
          <w:lang w:val="en-US" w:eastAsia="zh-CN"/>
        </w:rPr>
        <w:t>34.37</w:t>
      </w:r>
      <w:r>
        <w:rPr>
          <w:rFonts w:hint="eastAsia" w:ascii="仿宋_GB2312" w:hAnsi="宋体" w:eastAsia="仿宋_GB2312"/>
          <w:b w:val="0"/>
          <w:bCs/>
          <w:sz w:val="32"/>
          <w:szCs w:val="32"/>
        </w:rPr>
        <w:t>%。</w:t>
      </w:r>
      <w:r>
        <w:rPr>
          <w:rFonts w:hint="eastAsia" w:ascii="仿宋_GB2312" w:hAnsi="宋体" w:eastAsia="仿宋_GB2312"/>
          <w:b w:val="0"/>
          <w:bCs/>
          <w:sz w:val="32"/>
          <w:szCs w:val="32"/>
        </w:rPr>
        <w:cr/>
      </w:r>
      <w:r>
        <w:rPr>
          <w:rFonts w:hint="eastAsia" w:ascii="仿宋_GB2312" w:hAnsi="宋体" w:eastAsia="仿宋_GB2312"/>
          <w:b w:val="0"/>
          <w:bCs/>
          <w:sz w:val="32"/>
          <w:szCs w:val="32"/>
        </w:rPr>
        <w:t>　　2.政府采购项目预算执行情况分析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年初政府采购预算数为300万元，实际政府采购数为300万元，政府采购执行率为100%。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（五）使用方法和主要内容、涉及范围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1.评价方法</w:t>
      </w:r>
      <w:r>
        <w:rPr>
          <w:rFonts w:hint="eastAsia" w:ascii="仿宋_GB2312" w:hAnsi="宋体" w:eastAsia="仿宋_GB2312"/>
          <w:b w:val="0"/>
          <w:bCs/>
          <w:sz w:val="32"/>
          <w:szCs w:val="32"/>
        </w:rPr>
        <w:cr/>
      </w:r>
      <w:r>
        <w:rPr>
          <w:rFonts w:hint="eastAsia" w:ascii="仿宋_GB2312" w:hAnsi="宋体" w:eastAsia="仿宋_GB2312"/>
          <w:b w:val="0"/>
          <w:bCs/>
          <w:sz w:val="32"/>
          <w:szCs w:val="32"/>
        </w:rPr>
        <w:t>　　本次自评秉承科学规范、公正公开、分级分类、绩效相关等原则，按照从投入、过程到产出效果和影响的绩效逻辑路径，结合我单位部门整体支出实际开展情况，运用定量和定性分析相结合的方法，总结经验做法，反思项目实施和管理中的问题，以切实提升财政资金管理的科学化、规范化和精细化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2.评价对象及主要内容</w:t>
      </w:r>
      <w:r>
        <w:rPr>
          <w:rFonts w:hint="eastAsia" w:ascii="仿宋_GB2312" w:hAnsi="宋体" w:eastAsia="仿宋_GB2312"/>
          <w:b w:val="0"/>
          <w:bCs/>
          <w:sz w:val="32"/>
          <w:szCs w:val="32"/>
        </w:rPr>
        <w:cr/>
      </w:r>
      <w:r>
        <w:rPr>
          <w:rFonts w:hint="eastAsia" w:ascii="仿宋_GB2312" w:hAnsi="宋体" w:eastAsia="仿宋_GB2312"/>
          <w:b w:val="0"/>
          <w:bCs/>
          <w:sz w:val="32"/>
          <w:szCs w:val="32"/>
        </w:rPr>
        <w:t>　　评价的对象及主要内容为:一是部门单位整体管理及使用情况，具体涉及预算管理、基本支出和专项支出的管理及使用情况；二是部门单位整体支出绩效情况，具体涉及部门单位整体支出绩效目标的实现程度，包括是否达到预定产出、效果和效益效率等；三是部门单位专项组织实施情况，具体涉及专项组织情况分析和相关管理情况；四是资产管理情况，具体涉及资产管理规范性和资产变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3.涉及的范围</w:t>
      </w:r>
      <w:r>
        <w:rPr>
          <w:rFonts w:hint="eastAsia" w:ascii="仿宋_GB2312" w:hAnsi="宋体" w:eastAsia="仿宋_GB2312"/>
          <w:b w:val="0"/>
          <w:bCs/>
          <w:sz w:val="32"/>
          <w:szCs w:val="32"/>
        </w:rPr>
        <w:cr/>
      </w:r>
      <w:r>
        <w:rPr>
          <w:rFonts w:hint="eastAsia" w:ascii="仿宋_GB2312" w:hAnsi="宋体" w:eastAsia="仿宋_GB2312"/>
          <w:b w:val="0"/>
          <w:bCs/>
          <w:sz w:val="32"/>
          <w:szCs w:val="32"/>
        </w:rPr>
        <w:t>　　此次我单位根据《财政支出绩效评价管理暂行办法》（财预〔2021〕10号）等一系列文件要求对2021年度我单位部门整体支出开展部门（单位）整体支出绩效自评，本次自评主要内容和涉及范围：一是部门（单位）整体支出管理及使用情况，具体涉及预算管理、基本支出和使用情况、和专项支出管理和使用情况；二是部门（单位）专项组织实施情况具体涉及专项组织情况分析和管理情况分析；三是资产管理情况具体涉及资产管理规范性和固定资产利用率；四是部门（单位）整体支出绩效情况具体涉及部门（单位）整体支出绩效目标的实现程度，包括是否达到预定产出、效果和效益效率等方面进行评价。</w:t>
      </w:r>
      <w:bookmarkStart w:id="0" w:name="_Hlk43849111"/>
      <w:bookmarkEnd w:id="0"/>
    </w:p>
    <w:bookmarkEnd w:id="1"/>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部门单位整体支出管理及使用情况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（一）预算管理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1.管理制度健全性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为加强我单位预算管理、规范财务行为我单位制定了《克州维吾尔医医院内部控制规范》《克州维吾尔医医院目管理规范》等资金管理制度，已建立制度均健全且有效运行。</w:t>
      </w:r>
      <w:r>
        <w:rPr>
          <w:rFonts w:hint="eastAsia" w:ascii="仿宋_GB2312" w:hAnsi="宋体" w:eastAsia="仿宋_GB2312"/>
          <w:b w:val="0"/>
          <w:bCs/>
          <w:sz w:val="32"/>
          <w:szCs w:val="32"/>
        </w:rPr>
        <w:cr/>
      </w:r>
      <w:r>
        <w:rPr>
          <w:rFonts w:hint="eastAsia" w:ascii="仿宋_GB2312" w:hAnsi="宋体" w:eastAsia="仿宋_GB2312"/>
          <w:b w:val="0"/>
          <w:bCs/>
          <w:sz w:val="32"/>
          <w:szCs w:val="32"/>
        </w:rPr>
        <w:t>　　2.资金使用合规性和安全性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根据自评小组对账务、会计凭证核查显示，我单位2021年资金使用符合国家财经法规和财务管理制度以及有关专项资金管理办法的规定；资金的拨付有完整的审批程序和手续；我单位建立了内部沟通协调机制，资金预算和计划的编制、调整、资金申请、信息及资料有效传递。采购合同和验收报告作为财务室采购资金支付的主要依据，在达到合同约定的付款条件时，采购需求部门及时向财务室递交采购公告、中标通知书、采购合同、验收报告以及原始发票等，由财务室按资金拨付规定及流程实行国库集中支付；不存在截留、挤占、挪用、虚列支出等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3.预决算信息公开性</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自治州财政局预决算信息公开工作要求，我单位在自治州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r>
        <w:rPr>
          <w:rFonts w:hint="eastAsia" w:ascii="仿宋_GB2312" w:hAnsi="宋体" w:eastAsia="仿宋_GB2312"/>
          <w:b w:val="0"/>
          <w:bCs/>
          <w:sz w:val="32"/>
          <w:szCs w:val="32"/>
        </w:rPr>
        <w:cr/>
      </w:r>
      <w:r>
        <w:rPr>
          <w:rFonts w:hint="eastAsia" w:ascii="仿宋_GB2312" w:hAnsi="宋体" w:eastAsia="仿宋_GB2312"/>
          <w:b w:val="0"/>
          <w:bCs/>
          <w:sz w:val="32"/>
          <w:szCs w:val="32"/>
        </w:rPr>
        <w:t>　　（二）基本支出管理和使用情况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1.基本支出使用情况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2021年度我单位基本支出预算总额为3,714.97万元，其中人员经费2,359.34万元，公用经费1,355.63万元。实际执行总额为3,714.97万元，预算执行率100%。</w:t>
      </w:r>
      <w:r>
        <w:rPr>
          <w:rFonts w:hint="eastAsia" w:ascii="仿宋_GB2312" w:hAnsi="宋体" w:eastAsia="仿宋_GB2312"/>
          <w:b w:val="0"/>
          <w:bCs/>
          <w:sz w:val="32"/>
          <w:szCs w:val="32"/>
        </w:rPr>
        <w:cr/>
      </w:r>
      <w:r>
        <w:rPr>
          <w:rFonts w:hint="eastAsia" w:ascii="仿宋_GB2312" w:hAnsi="宋体" w:eastAsia="仿宋_GB2312"/>
          <w:b w:val="0"/>
          <w:bCs/>
          <w:sz w:val="32"/>
          <w:szCs w:val="32"/>
        </w:rPr>
        <w:t>　　2.三公经费控制情况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一般公共预算“三公”经费支出决算0万元，比上年减少0万元，减少0%，主要原因是：按照厉行节约的要求，2021年缩减公务车运行维护费，因此支出随之减少。其中，因公出国（境）费支出0万元；公务用车购置及运行维护费支出0万元；公务接待费支出0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与年初预算数相比情况：一般公共预算“三公”经费支出年初预算数0万元，预算执行数为0万元，执行率为0%，主要原因是：按照厉行节约的要求，2021年缩减公务车运行维护费，因此支出随之减少。</w:t>
      </w:r>
      <w:r>
        <w:rPr>
          <w:rFonts w:hint="eastAsia" w:ascii="仿宋_GB2312" w:hAnsi="宋体" w:eastAsia="仿宋_GB2312"/>
          <w:b w:val="0"/>
          <w:bCs/>
          <w:sz w:val="32"/>
          <w:szCs w:val="32"/>
        </w:rPr>
        <w:cr/>
      </w:r>
      <w:r>
        <w:rPr>
          <w:rFonts w:hint="eastAsia" w:ascii="仿宋_GB2312" w:hAnsi="宋体" w:eastAsia="仿宋_GB2312"/>
          <w:b w:val="0"/>
          <w:bCs/>
          <w:sz w:val="32"/>
          <w:szCs w:val="32"/>
        </w:rPr>
        <w:t>　　综上我单位2021年度三公经费控制较好，与上年相比存在降低与年初预算相比，未超出年初预算。</w:t>
      </w:r>
      <w:r>
        <w:rPr>
          <w:rFonts w:hint="eastAsia" w:ascii="仿宋_GB2312" w:hAnsi="宋体" w:eastAsia="仿宋_GB2312"/>
          <w:b w:val="0"/>
          <w:bCs/>
          <w:sz w:val="32"/>
          <w:szCs w:val="32"/>
        </w:rPr>
        <w:cr/>
      </w:r>
      <w:r>
        <w:rPr>
          <w:rFonts w:hint="eastAsia" w:ascii="仿宋_GB2312" w:hAnsi="宋体" w:eastAsia="仿宋_GB2312"/>
          <w:b w:val="0"/>
          <w:bCs/>
          <w:sz w:val="32"/>
          <w:szCs w:val="32"/>
        </w:rPr>
        <w:t>　　（三）项目支出管理和使用情况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2021年度本单位项目支出预算总额为375.00万元，实际执行资金总额为375.00万元，预算执行率为100%。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1.专项支出管理和使用情况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2021年度预算安排专项资金374.99万元，实际支出资金374.99万元，预算执行率为1000%，涉及项目个数3个。专项经费按照政策要求实行专款专用，不存在截留、挤占、挪用、虚列支出。各项目详细执行情况如下：</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2021年医疗服务与保障能力提升补助资金（中医药事业传承与发展部分）项目:全年预算数为151万元，预算执行数为151万元，预算执行率为100%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2021年医疗服务与保障能力提升补助项目（公立医院综合改革）项目:全年预算数为200万元，预算执行数为200万元，预算执行率为100%。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第一书记和为民办实事工作经费项目:全年预算数为24万元，预算执行数为24万元，预算执行率为100%。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部门单位专项组织实施情况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（一）专项组织情况分析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一是专项前期准备工作：下达专项工作任务，拟定工作方案，收集整理相关资料，准备开展各项专项工作。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二是专项组织实施过程：2021年以内控体系建设为抓手,进-完善财务制度,规范收支流程,严格审批制度。严格执行各项财经制度和管理规定,对预算资金严格控制,规范使用,强化执行，专项资金预算执行率为100%。加强专项资金的管理和核算,专项资金严格按照项目实施方案执行。接受各项财务检查中未发现重大管理漏洞和问题,并通过检查推进财务规范化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（二）专项管理情况分析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1.设立专项的政策依据</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2021年医疗服务与保障能力提升补助资金（中医药事业传承与发展部分）项目：《关于提前下达2021年医疗服务与保障能力提升补助资金(中医药事业传承与发展部分)》（克财社）[2020]128号）。</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2021年医疗服务与保障能力提升补助项目（公立医院综合改革）：《关于提前下达2021年中央医疗服务与保障能力提升（公立医院综合改革）补助资金预算的通知》（克财社[2020]127号）。</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工作经费项目：依据《自治区“访民情惠民生聚民心”驻村工作为民办实事工作经费使用管理办法（试行）的通知》（新民办发〔2016〕62号）、《关于拨付2021年自治区“访惠聚”驻村工作经费的通知》新财预（2021）19号文件</w:t>
      </w:r>
      <w:r>
        <w:rPr>
          <w:rFonts w:hint="eastAsia" w:ascii="仿宋_GB2312" w:hAnsi="宋体" w:eastAsia="仿宋_GB2312"/>
          <w:b w:val="0"/>
          <w:bCs/>
          <w:sz w:val="32"/>
          <w:szCs w:val="32"/>
        </w:rPr>
        <w:cr/>
      </w:r>
      <w:r>
        <w:rPr>
          <w:rFonts w:hint="eastAsia" w:ascii="仿宋_GB2312" w:hAnsi="宋体" w:eastAsia="仿宋_GB2312"/>
          <w:b w:val="0"/>
          <w:bCs/>
          <w:sz w:val="32"/>
          <w:szCs w:val="32"/>
        </w:rPr>
        <w:t>　　2.项目资金情况分析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项专项，总投入共计375.00万元，资金全部到位，实际使用资金375.00万元，专项资金执行率为100%。专项资金严格按照《财务管理制度》《专项资金使用管理制度》《内部控制管理手册》实行专款专用，在本年度审计和财政监督检查过程中未发生资金违规使用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3.项目实施情况分析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（1）组织情况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按照项目工作内容、工作措施、工作时限和要达到的预期效果，进一步分解细化，将责任落实到岗位，使各部门专项工作任务与绩效评评价指标与紧密结合起来，推动各项工作落实。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（2）管理情况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遵守《会计法》《预算法》《行政单位财务规则》等法律和有关财政财务规章，规范财政资金管理，量入为出，统筹兼顾，突出重点，讲究实效，防范风险，合理使用各项建设资金，确保了我单位预算管理的成效，全年预算支出整体受控。</w:t>
      </w:r>
      <w:r>
        <w:rPr>
          <w:rFonts w:hint="eastAsia" w:ascii="仿宋_GB2312" w:hAnsi="宋体" w:eastAsia="仿宋_GB2312"/>
          <w:b w:val="0"/>
          <w:bCs/>
          <w:sz w:val="32"/>
          <w:szCs w:val="32"/>
        </w:rPr>
        <w:cr/>
      </w:r>
      <w:r>
        <w:rPr>
          <w:rFonts w:hint="eastAsia" w:ascii="仿宋_GB2312" w:hAnsi="宋体" w:eastAsia="仿宋_GB2312"/>
          <w:b w:val="0"/>
          <w:bCs/>
          <w:sz w:val="32"/>
          <w:szCs w:val="32"/>
        </w:rPr>
        <w:t>　　①制订《克州维吾尔医医院经费使用规范》,为合理合规使用经费提供了有力的制度保障。同时,建立区委组织部项目经费内部管控制度，并严格按要求落实。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②年初对预算指标按照项目分类,从数量、金额和业务发生科室等方面分别进行管理控制,使财务负责人、专项经费经办人及专项经费使用者及时掌握预算信息,随时检查预算执行情况。申请经费到位后，严格验收签字程序。对经费使用的合理合规进行审核，对资金的使用、完成情况、使用效果进行监督检查。</w:t>
      </w:r>
      <w:r>
        <w:rPr>
          <w:rFonts w:hint="eastAsia" w:ascii="仿宋_GB2312" w:hAnsi="宋体" w:eastAsia="仿宋_GB2312"/>
          <w:b w:val="0"/>
          <w:bCs/>
          <w:sz w:val="32"/>
          <w:szCs w:val="32"/>
        </w:rPr>
        <w:cr/>
      </w:r>
      <w:r>
        <w:rPr>
          <w:rFonts w:hint="eastAsia" w:ascii="仿宋_GB2312" w:hAnsi="宋体" w:eastAsia="仿宋_GB2312"/>
          <w:b w:val="0"/>
          <w:bCs/>
          <w:sz w:val="32"/>
          <w:szCs w:val="32"/>
        </w:rPr>
        <w:t>　　③严格按照财务管理制度使用经费，保证项目实际支出与项目计划投入资金的用途相符，资金的拨付有完整的审批程序和手续，符合项目调剂资金或合同规定的用途，不存在超标列支相关费用，做到了专款专用，不存在截留、挤占、挪用、虚列支出。</w:t>
      </w:r>
      <w:r>
        <w:rPr>
          <w:rFonts w:hint="eastAsia" w:ascii="仿宋_GB2312" w:hAnsi="宋体" w:eastAsia="仿宋_GB2312"/>
          <w:b w:val="0"/>
          <w:bCs/>
          <w:sz w:val="32"/>
          <w:szCs w:val="32"/>
        </w:rPr>
        <w:cr/>
      </w:r>
      <w:r>
        <w:rPr>
          <w:rFonts w:hint="eastAsia" w:ascii="仿宋_GB2312" w:hAnsi="宋体" w:eastAsia="仿宋_GB2312"/>
          <w:b w:val="0"/>
          <w:bCs/>
          <w:sz w:val="32"/>
          <w:szCs w:val="32"/>
        </w:rPr>
        <w:t>　　④开展定期检查。定期对专项资金的使用情况进行监督检查,重点督查专项资金的使用进度,资金落实情况,对发观的问题,采取措施、及时纠正、追责处理、强化管理。有效杜绝了专项资金在分配使用过程中发生违纪现象，确保了项目资金的使用效率及安全性。</w:t>
      </w:r>
      <w:r>
        <w:rPr>
          <w:rFonts w:hint="eastAsia" w:ascii="仿宋_GB2312" w:hAnsi="宋体" w:eastAsia="仿宋_GB2312"/>
          <w:b w:val="0"/>
          <w:bCs/>
          <w:sz w:val="32"/>
          <w:szCs w:val="32"/>
        </w:rPr>
        <w:cr/>
      </w:r>
      <w:r>
        <w:rPr>
          <w:rFonts w:hint="eastAsia" w:ascii="仿宋_GB2312" w:hAnsi="宋体" w:eastAsia="仿宋_GB2312"/>
          <w:b w:val="0"/>
          <w:bCs/>
          <w:sz w:val="32"/>
          <w:szCs w:val="32"/>
        </w:rPr>
        <w:t>　　（3）监管情况</w:t>
      </w:r>
      <w:r>
        <w:rPr>
          <w:rFonts w:hint="eastAsia" w:ascii="仿宋_GB2312" w:hAnsi="宋体" w:eastAsia="仿宋_GB2312"/>
          <w:b w:val="0"/>
          <w:bCs/>
          <w:sz w:val="32"/>
          <w:szCs w:val="32"/>
        </w:rPr>
        <w:cr/>
      </w:r>
      <w:r>
        <w:rPr>
          <w:rFonts w:hint="eastAsia" w:ascii="仿宋_GB2312" w:hAnsi="宋体" w:eastAsia="仿宋_GB2312"/>
          <w:b w:val="0"/>
          <w:bCs/>
          <w:sz w:val="32"/>
          <w:szCs w:val="32"/>
        </w:rPr>
        <w:t>　　执行项目经办人、负责人定时汇报制。定期对项目执行及资金的使用情况进行自查，重点督查项目资金的使用进度，资金落实情况，对发现的问题采取措施，及时纠正，认真处理，强化管理，有效杜绝了项目资金在分配使用过程中违纪现象的发生，保证了项目资金的使用安全。为了规范项目资金分配及使用，我单位制定了《重点项目管理办法》，明确了项目资金管理的原则，对项目申报、项目的审核和确定、项目的实施和管理、竣工验收、结果公示和资金拨付情况、绩效管理等进行了规范。我单位成立了领导小组，明确了分管领导、牵头科室和具体负责人。建立了沟通联系机制，组织调研，明确项目任务，制定项目实施方案。严格按照程序，在机关纪委、财政部门的监督下，从专家库随机抽取评审专家，对项目进行评审，并将评审结果在网上公示。按季度对项目执行情况进行调度，定期对项目进行绩效考核，指导、督促各科室抓紧落实任务。</w:t>
      </w:r>
      <w:r>
        <w:rPr>
          <w:rFonts w:hint="eastAsia" w:ascii="仿宋_GB2312" w:hAnsi="宋体" w:eastAsia="仿宋_GB2312"/>
          <w:b w:val="0"/>
          <w:bCs/>
          <w:sz w:val="32"/>
          <w:szCs w:val="32"/>
        </w:rPr>
        <w:cr/>
      </w:r>
      <w:r>
        <w:rPr>
          <w:rFonts w:hint="eastAsia" w:ascii="仿宋_GB2312" w:hAnsi="宋体" w:eastAsia="仿宋_GB2312"/>
          <w:b w:val="0"/>
          <w:bCs/>
          <w:sz w:val="32"/>
          <w:szCs w:val="32"/>
        </w:rPr>
        <w:t>　　4.项目绩效情况分析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严格按照项目资金用途使用资金做到专款专用。在遵循国家的《采购法》《预算法》充分认识到项目资金的重要性和特殊性,以高度的责任感和使命感管好用好每一分钱,使资金的安排、使用发挥出最大效益,实现项目目标。</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控制：依据项目预算及《内控制度》，降低成本支出，由财经会上会审核通过相关经费支出，一把手不直接分管财务，严格按照制度规定的标准执行，物品采购严格按照政府采购或者招投标程序进行采购组织项目开展，实施成本控制；</w:t>
      </w:r>
      <w:r>
        <w:rPr>
          <w:rFonts w:hint="eastAsia" w:ascii="仿宋_GB2312" w:hAnsi="宋体" w:eastAsia="仿宋_GB2312"/>
          <w:b w:val="0"/>
          <w:bCs/>
          <w:sz w:val="32"/>
          <w:szCs w:val="32"/>
        </w:rPr>
        <w:cr/>
      </w:r>
      <w:r>
        <w:rPr>
          <w:rFonts w:hint="eastAsia" w:ascii="仿宋_GB2312" w:hAnsi="宋体" w:eastAsia="仿宋_GB2312"/>
          <w:b w:val="0"/>
          <w:bCs/>
          <w:sz w:val="32"/>
          <w:szCs w:val="32"/>
        </w:rPr>
        <w:t>　　成本节约：我单位3个项目成本均未超预算，预算执行率达100%。</w:t>
      </w:r>
      <w:r>
        <w:rPr>
          <w:rFonts w:hint="eastAsia" w:ascii="仿宋_GB2312" w:hAnsi="宋体" w:eastAsia="仿宋_GB2312"/>
          <w:b w:val="0"/>
          <w:bCs/>
          <w:sz w:val="32"/>
          <w:szCs w:val="32"/>
        </w:rPr>
        <w:cr/>
      </w:r>
      <w:r>
        <w:rPr>
          <w:rFonts w:hint="eastAsia" w:ascii="仿宋_GB2312" w:hAnsi="宋体" w:eastAsia="仿宋_GB2312"/>
          <w:b w:val="0"/>
          <w:bCs/>
          <w:sz w:val="32"/>
          <w:szCs w:val="32"/>
        </w:rPr>
        <w:t>　　5.项目效率性分析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（1）实施进度</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我单位共有3个项目，项目实施进度已达到100%.</w:t>
      </w:r>
      <w:r>
        <w:rPr>
          <w:rFonts w:hint="eastAsia" w:ascii="仿宋_GB2312" w:hAnsi="宋体" w:eastAsia="仿宋_GB2312"/>
          <w:b w:val="0"/>
          <w:bCs/>
          <w:sz w:val="32"/>
          <w:szCs w:val="32"/>
        </w:rPr>
        <w:cr/>
      </w:r>
      <w:r>
        <w:rPr>
          <w:rFonts w:hint="eastAsia" w:ascii="仿宋_GB2312" w:hAnsi="宋体" w:eastAsia="仿宋_GB2312"/>
          <w:b w:val="0"/>
          <w:bCs/>
          <w:sz w:val="32"/>
          <w:szCs w:val="32"/>
        </w:rPr>
        <w:t>　　（2）完成质量</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我单位各项目均达到绩效目标所要求质量条件。</w:t>
      </w:r>
      <w:r>
        <w:rPr>
          <w:rFonts w:hint="eastAsia" w:ascii="仿宋_GB2312" w:hAnsi="宋体" w:eastAsia="仿宋_GB2312"/>
          <w:b w:val="0"/>
          <w:bCs/>
          <w:sz w:val="32"/>
          <w:szCs w:val="32"/>
        </w:rPr>
        <w:cr/>
      </w:r>
      <w:r>
        <w:rPr>
          <w:rFonts w:hint="eastAsia" w:ascii="仿宋_GB2312" w:hAnsi="宋体" w:eastAsia="仿宋_GB2312"/>
          <w:b w:val="0"/>
          <w:bCs/>
          <w:sz w:val="32"/>
          <w:szCs w:val="32"/>
        </w:rPr>
        <w:t>　　6.项目效益性分析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资金（中医药事业传承与发展部分）项目：主要用于中医药事业传承与发展，有利于加强发热门诊建设，提高医院诊疗水平，加强院感防控管理，提高医院的预警和防控能力及对突发公共卫生事件的应急能力。为了医院医疗服务能力提升，医院购置了发热门诊医疗设备、胰岛素泵、救护车。</w:t>
      </w:r>
      <w:r>
        <w:rPr>
          <w:rFonts w:hint="eastAsia" w:ascii="仿宋_GB2312" w:hAnsi="宋体" w:eastAsia="仿宋_GB2312"/>
          <w:b w:val="0"/>
          <w:bCs/>
          <w:sz w:val="32"/>
          <w:szCs w:val="32"/>
        </w:rPr>
        <w:cr/>
      </w:r>
      <w:r>
        <w:rPr>
          <w:rFonts w:hint="eastAsia" w:ascii="仿宋_GB2312" w:hAnsi="宋体" w:eastAsia="仿宋_GB2312"/>
          <w:b w:val="0"/>
          <w:bCs/>
          <w:sz w:val="32"/>
          <w:szCs w:val="32"/>
        </w:rPr>
        <w:t>　　2021年医疗服务与保障能力提升补助项目（公立医院综合改革）：主要用于加强医院中医药事业传承与发展，有利于为了医院医疗服务提升购入了中成药、中草药、改造了发热门诊、购置发热门诊医疗设备。</w:t>
      </w:r>
      <w:r>
        <w:rPr>
          <w:rFonts w:hint="eastAsia" w:ascii="仿宋_GB2312" w:hAnsi="宋体" w:eastAsia="仿宋_GB2312"/>
          <w:b w:val="0"/>
          <w:bCs/>
          <w:sz w:val="32"/>
          <w:szCs w:val="32"/>
        </w:rPr>
        <w:cr/>
      </w:r>
      <w:r>
        <w:rPr>
          <w:rFonts w:hint="eastAsia" w:ascii="仿宋_GB2312" w:hAnsi="宋体" w:eastAsia="仿宋_GB2312"/>
          <w:b w:val="0"/>
          <w:bCs/>
          <w:sz w:val="32"/>
          <w:szCs w:val="32"/>
        </w:rPr>
        <w:t>　　第一书记和为民办实事工作经费项目：用于第一书记开展各项工作，有利于驻村点为民办实事，营造安定和谐稳定的社会局面，着力解决农民反映的热点、难点问题，确保第一书记的各项工作顺利开展，完成相关任务，开展各项文体活动、职业技能培训、节日慰问、帮助困难群众等，营造安定和谐稳定的社会局面，确保工作队各项工作工作顺利开展，完成相关任务。</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资产管理情况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本单位2021年初资产合计数为6622.8万元，年末资产合计数为9159.94万元。</w:t>
      </w:r>
      <w:r>
        <w:rPr>
          <w:rFonts w:hint="eastAsia" w:ascii="仿宋_GB2312" w:hAnsi="宋体" w:eastAsia="仿宋_GB2312"/>
          <w:b w:val="0"/>
          <w:bCs/>
          <w:sz w:val="32"/>
          <w:szCs w:val="32"/>
        </w:rPr>
        <w:cr/>
      </w:r>
      <w:r>
        <w:rPr>
          <w:rFonts w:hint="eastAsia" w:ascii="仿宋_GB2312" w:hAnsi="宋体" w:eastAsia="仿宋_GB2312"/>
          <w:b w:val="0"/>
          <w:bCs/>
          <w:sz w:val="32"/>
          <w:szCs w:val="32"/>
        </w:rPr>
        <w:t>　　（一）资产管理体制和制度建设方面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建立健全资产管理制度，合理配备并节约、有效使用资产，提高资产使用效率，保障资产的安全和完整。管理和使用坚持统一政策、统一领导、分级管理、职责到人、物尽其用的原则。办公室负责对单位资产管理进行指导和监督，对纳入政府采购范围的资产进行统一购置。成立了由一把手负总责的“资产管理领导小组”，具体负责本单位资产的采购、分配、清查，以及资产使用、维护过程中的监督任务。各科室确定专人负责资产的日常管理工作，包括资产的登记、统计、维护、保管等，并对所管资产的安全完整负有职责。资产管理人员应相对稳定，工作调动时务必办理交接手续。</w:t>
      </w:r>
      <w:r>
        <w:rPr>
          <w:rFonts w:hint="eastAsia" w:ascii="仿宋_GB2312" w:hAnsi="宋体" w:eastAsia="仿宋_GB2312"/>
          <w:b w:val="0"/>
          <w:bCs/>
          <w:sz w:val="32"/>
          <w:szCs w:val="32"/>
        </w:rPr>
        <w:cr/>
      </w:r>
      <w:r>
        <w:rPr>
          <w:rFonts w:hint="eastAsia" w:ascii="仿宋_GB2312" w:hAnsi="宋体" w:eastAsia="仿宋_GB2312"/>
          <w:b w:val="0"/>
          <w:bCs/>
          <w:sz w:val="32"/>
          <w:szCs w:val="32"/>
        </w:rPr>
        <w:t>　　（二）运行机制和管理方式</w:t>
      </w:r>
      <w:r>
        <w:rPr>
          <w:rFonts w:hint="eastAsia" w:ascii="仿宋_GB2312" w:hAnsi="宋体" w:eastAsia="仿宋_GB2312"/>
          <w:b w:val="0"/>
          <w:bCs/>
          <w:sz w:val="32"/>
          <w:szCs w:val="32"/>
        </w:rPr>
        <w:cr/>
      </w:r>
      <w:r>
        <w:rPr>
          <w:rFonts w:hint="eastAsia" w:ascii="仿宋_GB2312" w:hAnsi="宋体" w:eastAsia="仿宋_GB2312"/>
          <w:b w:val="0"/>
          <w:bCs/>
          <w:sz w:val="32"/>
          <w:szCs w:val="32"/>
        </w:rPr>
        <w:t>　　资产管理由财务部门进行价值核算并设置专人进行资产实物卡片管理及使用状况监督；办公设备由办公室设置专人进行实物卡片管理及使用状况监督。我单位建立了严格的资产交付使用验收制度。资产采购根据合同、供应商发货单等对所购资产的品种、规格、数量、质量、技术要求及其他资料进行验收。未通过验收的不合格资产，不得接收，务必按照合同等有关规定办理退换货或其他弥补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（三）信息化建设方面</w:t>
      </w:r>
      <w:r>
        <w:rPr>
          <w:rFonts w:hint="eastAsia" w:ascii="仿宋_GB2312" w:hAnsi="宋体" w:eastAsia="仿宋_GB2312"/>
          <w:b w:val="0"/>
          <w:bCs/>
          <w:sz w:val="32"/>
          <w:szCs w:val="32"/>
        </w:rPr>
        <w:cr/>
      </w:r>
      <w:r>
        <w:rPr>
          <w:rFonts w:hint="eastAsia" w:ascii="仿宋_GB2312" w:hAnsi="宋体" w:eastAsia="仿宋_GB2312"/>
          <w:b w:val="0"/>
          <w:bCs/>
          <w:sz w:val="32"/>
          <w:szCs w:val="32"/>
        </w:rPr>
        <w:t>　　我单位通过用行政事业单位资产管理软件严格管理资产卡片，包括卡片的增加、删除、查询、打印、汇总等。正确、全面、及时地记录资产的增加、减少、使用等状况，真实地反映和监督资产的增减变动和实际状况，建立健全了资产账簿体系。</w:t>
      </w:r>
      <w:r>
        <w:rPr>
          <w:rFonts w:hint="eastAsia" w:ascii="仿宋_GB2312" w:hAnsi="宋体" w:eastAsia="仿宋_GB2312"/>
          <w:b w:val="0"/>
          <w:bCs/>
          <w:sz w:val="32"/>
          <w:szCs w:val="32"/>
        </w:rPr>
        <w:cr/>
      </w:r>
      <w:r>
        <w:rPr>
          <w:rFonts w:hint="eastAsia" w:ascii="仿宋_GB2312" w:hAnsi="宋体" w:eastAsia="仿宋_GB2312"/>
          <w:b w:val="0"/>
          <w:bCs/>
          <w:sz w:val="32"/>
          <w:szCs w:val="32"/>
        </w:rPr>
        <w:t>　　（四）流动资产的管理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流动资产严格按照我单位内控体系要求进行管理，无备用金，单位货币资金管理由财务科每月与银行进行对帐，并填写银行余额调节表。</w:t>
      </w:r>
      <w:r>
        <w:rPr>
          <w:rFonts w:hint="eastAsia" w:ascii="仿宋_GB2312" w:hAnsi="宋体" w:eastAsia="仿宋_GB2312"/>
          <w:b w:val="0"/>
          <w:bCs/>
          <w:sz w:val="32"/>
          <w:szCs w:val="32"/>
        </w:rPr>
        <w:cr/>
      </w:r>
      <w:r>
        <w:rPr>
          <w:rFonts w:hint="eastAsia" w:ascii="仿宋_GB2312" w:hAnsi="宋体" w:eastAsia="仿宋_GB2312"/>
          <w:b w:val="0"/>
          <w:bCs/>
          <w:sz w:val="32"/>
          <w:szCs w:val="32"/>
        </w:rPr>
        <w:t>　　（五）固定资产的管理</w:t>
      </w:r>
      <w:r>
        <w:rPr>
          <w:rFonts w:hint="eastAsia" w:ascii="仿宋_GB2312" w:hAnsi="宋体" w:eastAsia="仿宋_GB2312"/>
          <w:b w:val="0"/>
          <w:bCs/>
          <w:sz w:val="32"/>
          <w:szCs w:val="32"/>
        </w:rPr>
        <w:cr/>
      </w:r>
      <w:r>
        <w:rPr>
          <w:rFonts w:hint="eastAsia" w:ascii="仿宋_GB2312" w:hAnsi="宋体" w:eastAsia="仿宋_GB2312"/>
          <w:b w:val="0"/>
          <w:bCs/>
          <w:sz w:val="32"/>
          <w:szCs w:val="32"/>
        </w:rPr>
        <w:t>　　本单位的资产管理详细按照的相关要求执行,符合财政部门要求。每年年末定时对我单位的固定资产进行盘点，对盘点过程中发生的盈亏，进行原因查找，并上报局党组研究决策，再上报财政国有资产管理科进行申报再行处理。</w:t>
      </w:r>
      <w:r>
        <w:rPr>
          <w:rFonts w:hint="eastAsia" w:ascii="仿宋_GB2312" w:hAnsi="宋体" w:eastAsia="仿宋_GB2312"/>
          <w:b w:val="0"/>
          <w:bCs/>
          <w:sz w:val="32"/>
          <w:szCs w:val="32"/>
        </w:rPr>
        <w:cr/>
      </w:r>
      <w:r>
        <w:rPr>
          <w:rFonts w:hint="eastAsia" w:ascii="仿宋_GB2312" w:hAnsi="宋体" w:eastAsia="仿宋_GB2312"/>
          <w:b w:val="0"/>
          <w:bCs/>
          <w:sz w:val="32"/>
          <w:szCs w:val="32"/>
        </w:rPr>
        <w:t>　　（六）固定资产利用率</w:t>
      </w:r>
      <w:r>
        <w:rPr>
          <w:rFonts w:hint="eastAsia" w:ascii="仿宋_GB2312" w:hAnsi="宋体" w:eastAsia="仿宋_GB2312"/>
          <w:b w:val="0"/>
          <w:bCs/>
          <w:sz w:val="32"/>
          <w:szCs w:val="32"/>
        </w:rPr>
        <w:cr/>
      </w:r>
      <w:r>
        <w:rPr>
          <w:rFonts w:hint="eastAsia" w:ascii="仿宋_GB2312" w:hAnsi="宋体" w:eastAsia="仿宋_GB2312"/>
          <w:b w:val="0"/>
          <w:bCs/>
          <w:sz w:val="32"/>
          <w:szCs w:val="32"/>
        </w:rPr>
        <w:t>　　截止本年度固定资产账面净值6608.26万元，年末实际在用固定资产6608.26万元，固定资产利用率为100%。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部门单位整体支出绩效情况</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部门单位整体支出共设置一级指标3个，二级指标7个，三级指标11个，其中已完成三级指标11个，指标完成率为100%。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1.产出指标完成情况分析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（1）数量指标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“保障人员人数”指标：预期指标值为214人，实际完成指标值为214人，指标完成率为100%。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“保障车辆数(辆)”指标：预期指标值为=4辆，实际完成指标值为4辆人，指标完成率为100%。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“开展医院业务活动”指标：预期指标值为&gt;=65次，实际完成指标值为65次，指标完成率为100%。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（2）质量指标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“绩效合格率”指标：预期指标值为≥95%，实际完成指标值为≥95%，指标完成率为100%。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（3）时效指标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“经费发放及时、使用率”指标：预期指标值为=95%，实际完成指标值为95%，指标完成率为100%。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（4）成本指标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“人员经费”指标：预期指标值为2078.37万元，实际完成指标值为2078.37万元，指标完成率为100%。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“公用经费”指标：预期指标值为=941.31万元，实际完成指标值为941.31万元，指标完成率为100%。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“人员经费”指标：预期指标值为=24万元，实际完成指标值为24万元，指标完成率为100%。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2.效益指标完成情况分析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（1）经济效益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无经济效益指标。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（2）社会效益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“改善本地州维吾尔医医院服务水平”指标：预期指标值为有效改善，实际完成指标值为有效改善，指标完成率为100%。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（3）生态效益</w:t>
      </w:r>
      <w:r>
        <w:rPr>
          <w:rFonts w:hint="eastAsia" w:ascii="仿宋_GB2312" w:hAnsi="宋体" w:eastAsia="仿宋_GB2312"/>
          <w:b w:val="0"/>
          <w:bCs/>
          <w:sz w:val="32"/>
          <w:szCs w:val="32"/>
        </w:rPr>
        <w:cr/>
      </w:r>
      <w:r>
        <w:rPr>
          <w:rFonts w:hint="eastAsia" w:ascii="仿宋_GB2312" w:hAnsi="宋体" w:eastAsia="仿宋_GB2312"/>
          <w:b w:val="0"/>
          <w:bCs/>
          <w:sz w:val="32"/>
          <w:szCs w:val="32"/>
        </w:rPr>
        <w:t>　　无生态效益指标。</w:t>
      </w:r>
      <w:r>
        <w:rPr>
          <w:rFonts w:hint="eastAsia" w:ascii="仿宋_GB2312" w:hAnsi="宋体" w:eastAsia="仿宋_GB2312"/>
          <w:b w:val="0"/>
          <w:bCs/>
          <w:sz w:val="32"/>
          <w:szCs w:val="32"/>
        </w:rPr>
        <w:cr/>
      </w:r>
      <w:r>
        <w:rPr>
          <w:rFonts w:hint="eastAsia" w:ascii="仿宋_GB2312" w:hAnsi="宋体" w:eastAsia="仿宋_GB2312"/>
          <w:b w:val="0"/>
          <w:bCs/>
          <w:sz w:val="32"/>
          <w:szCs w:val="32"/>
        </w:rPr>
        <w:t>　　（4）可持续影响</w:t>
      </w:r>
      <w:r>
        <w:rPr>
          <w:rFonts w:hint="eastAsia" w:ascii="仿宋_GB2312" w:hAnsi="宋体" w:eastAsia="仿宋_GB2312"/>
          <w:b w:val="0"/>
          <w:bCs/>
          <w:sz w:val="32"/>
          <w:szCs w:val="32"/>
        </w:rPr>
        <w:cr/>
      </w:r>
      <w:r>
        <w:rPr>
          <w:rFonts w:hint="eastAsia" w:ascii="仿宋_GB2312" w:hAnsi="宋体" w:eastAsia="仿宋_GB2312"/>
          <w:b w:val="0"/>
          <w:bCs/>
          <w:sz w:val="32"/>
          <w:szCs w:val="32"/>
        </w:rPr>
        <w:t>　　“可持续保证医院正常运转”指标：预期指标值为长期，实际完成指标值为长期，指标完成率为100%。</w:t>
      </w:r>
      <w:r>
        <w:rPr>
          <w:rFonts w:hint="eastAsia" w:ascii="仿宋_GB2312" w:hAnsi="宋体" w:eastAsia="仿宋_GB2312"/>
          <w:b w:val="0"/>
          <w:bCs/>
          <w:sz w:val="32"/>
          <w:szCs w:val="32"/>
        </w:rPr>
        <w:cr/>
      </w:r>
      <w:r>
        <w:rPr>
          <w:rFonts w:hint="eastAsia" w:ascii="仿宋_GB2312" w:hAnsi="宋体" w:eastAsia="仿宋_GB2312"/>
          <w:b w:val="0"/>
          <w:bCs/>
          <w:sz w:val="32"/>
          <w:szCs w:val="32"/>
        </w:rPr>
        <w:t>　　3.满意度指标完成情况分析</w:t>
      </w:r>
      <w:r>
        <w:rPr>
          <w:rFonts w:hint="eastAsia" w:ascii="仿宋_GB2312" w:hAnsi="宋体" w:eastAsia="仿宋_GB2312"/>
          <w:b w:val="0"/>
          <w:bCs/>
          <w:sz w:val="32"/>
          <w:szCs w:val="32"/>
        </w:rPr>
        <w:cr/>
      </w:r>
      <w:r>
        <w:rPr>
          <w:rFonts w:hint="eastAsia" w:ascii="仿宋_GB2312" w:hAnsi="宋体" w:eastAsia="仿宋_GB2312"/>
          <w:b w:val="0"/>
          <w:bCs/>
          <w:sz w:val="32"/>
          <w:szCs w:val="32"/>
        </w:rPr>
        <w:t>　　“患者在医院医疗服务的满意度（%）”指标：预期指标值为&gt;=95%，实际完成指标值为95%，指标完成率为100%。</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存在的主要问题</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rPr>
          <w:rFonts w:hint="eastAsia" w:ascii="仿宋_GB2312" w:hAnsi="宋体" w:eastAsia="仿宋_GB2312"/>
          <w:b w:val="0"/>
          <w:bCs/>
          <w:sz w:val="32"/>
          <w:szCs w:val="32"/>
        </w:rPr>
      </w:pPr>
      <w:r>
        <w:rPr>
          <w:rFonts w:hint="eastAsia" w:ascii="仿宋_GB2312" w:hAnsi="宋体" w:eastAsia="仿宋_GB2312"/>
          <w:b w:val="0"/>
          <w:bCs/>
          <w:sz w:val="32"/>
          <w:szCs w:val="32"/>
        </w:rPr>
        <w:t>1绩效管理工作的意义。绩效管理经验不足，预算绩效管理工作有待进一步落实。</w:t>
      </w:r>
      <w:r>
        <w:rPr>
          <w:rFonts w:hint="eastAsia" w:ascii="仿宋_GB2312" w:hAnsi="宋体" w:eastAsia="仿宋_GB2312"/>
          <w:b w:val="0"/>
          <w:bCs/>
          <w:sz w:val="32"/>
          <w:szCs w:val="32"/>
        </w:rPr>
        <w:cr/>
      </w:r>
      <w:r>
        <w:rPr>
          <w:rFonts w:hint="eastAsia" w:ascii="仿宋_GB2312" w:hAnsi="宋体" w:eastAsia="仿宋_GB2312"/>
          <w:b w:val="0"/>
          <w:bCs/>
          <w:sz w:val="32"/>
          <w:szCs w:val="32"/>
        </w:rPr>
        <w:t>　　2.绩效指标的明确性、可衡量性、相关性还需进一步提升。预算精细化管理还需完善，预算编制管理水平仍有进一步提升的空间。</w:t>
      </w:r>
    </w:p>
    <w:p>
      <w:pPr>
        <w:numPr>
          <w:ilvl w:val="0"/>
          <w:numId w:val="1"/>
        </w:numPr>
        <w:snapToGrid w:val="0"/>
        <w:spacing w:line="540" w:lineRule="exact"/>
        <w:rPr>
          <w:rFonts w:ascii="黑体" w:hAnsi="黑体" w:eastAsia="黑体" w:cs="宋体"/>
          <w:b/>
          <w:bCs w:val="0"/>
          <w:color w:val="000000" w:themeColor="text1"/>
          <w:sz w:val="32"/>
          <w:szCs w:val="32"/>
          <w:lang w:bidi="ar"/>
          <w14:textFill>
            <w14:solidFill>
              <w14:schemeClr w14:val="tx1"/>
            </w14:solidFill>
          </w14:textFill>
        </w:rPr>
      </w:pPr>
      <w:r>
        <w:rPr>
          <w:rFonts w:hint="eastAsia" w:ascii="黑体" w:hAnsi="黑体" w:eastAsia="黑体" w:cs="宋体"/>
          <w:b/>
          <w:bCs w:val="0"/>
          <w:color w:val="000000" w:themeColor="text1"/>
          <w:sz w:val="32"/>
          <w:szCs w:val="32"/>
          <w:lang w:bidi="ar"/>
          <w14:textFill>
            <w14:solidFill>
              <w14:schemeClr w14:val="tx1"/>
            </w14:solidFill>
          </w14:textFill>
        </w:rPr>
        <w:t>改进措施和建议</w:t>
      </w:r>
    </w:p>
    <w:p>
      <w:pPr>
        <w:keepNext w:val="0"/>
        <w:keepLines w:val="0"/>
        <w:pageBreakBefore w:val="0"/>
        <w:widowControl w:val="0"/>
        <w:kinsoku/>
        <w:wordWrap/>
        <w:overflowPunct/>
        <w:topLinePunct w:val="0"/>
        <w:autoSpaceDE/>
        <w:autoSpaceDN/>
        <w:bidi w:val="0"/>
        <w:adjustRightInd/>
        <w:snapToGrid/>
        <w:spacing w:line="240" w:lineRule="auto"/>
        <w:ind w:left="0" w:firstLine="640" w:firstLineChars="200"/>
        <w:jc w:val="left"/>
        <w:textAlignment w:val="auto"/>
      </w:pPr>
      <w:r>
        <w:rPr>
          <w:rFonts w:hint="eastAsia" w:ascii="仿宋_GB2312" w:hAnsi="宋体" w:eastAsia="仿宋_GB2312"/>
          <w:b w:val="0"/>
          <w:bCs/>
          <w:sz w:val="32"/>
          <w:szCs w:val="32"/>
        </w:rPr>
        <w:t>（一）改进措施</w:t>
      </w:r>
      <w:r>
        <w:rPr>
          <w:rFonts w:hint="eastAsia" w:ascii="仿宋_GB2312" w:hAnsi="宋体" w:eastAsia="仿宋_GB2312"/>
          <w:b w:val="0"/>
          <w:bCs/>
          <w:sz w:val="32"/>
          <w:szCs w:val="32"/>
        </w:rPr>
        <w:cr/>
      </w:r>
      <w:r>
        <w:rPr>
          <w:rFonts w:hint="eastAsia" w:ascii="仿宋_GB2312" w:hAnsi="宋体" w:eastAsia="仿宋_GB2312"/>
          <w:b w:val="0"/>
          <w:bCs/>
          <w:sz w:val="32"/>
          <w:szCs w:val="32"/>
        </w:rPr>
        <w:t>　　1.继续加大绩效工作宣传力度，强化绩效理念。</w:t>
      </w:r>
      <w:r>
        <w:rPr>
          <w:rFonts w:hint="eastAsia" w:ascii="仿宋_GB2312" w:hAnsi="宋体" w:eastAsia="仿宋_GB2312"/>
          <w:b w:val="0"/>
          <w:bCs/>
          <w:sz w:val="32"/>
          <w:szCs w:val="32"/>
        </w:rPr>
        <w:cr/>
      </w:r>
      <w:r>
        <w:rPr>
          <w:rFonts w:hint="eastAsia" w:ascii="仿宋_GB2312" w:hAnsi="宋体" w:eastAsia="仿宋_GB2312"/>
          <w:b w:val="0"/>
          <w:bCs/>
          <w:sz w:val="32"/>
          <w:szCs w:val="32"/>
        </w:rPr>
        <w:t>　　2.继续完善绩效指标，提高整体绩效目标质量。提升预算精细化管理水平。</w:t>
      </w:r>
      <w:r>
        <w:rPr>
          <w:rFonts w:hint="eastAsia" w:ascii="仿宋_GB2312" w:hAnsi="宋体" w:eastAsia="仿宋_GB2312"/>
          <w:b w:val="0"/>
          <w:bCs/>
          <w:sz w:val="32"/>
          <w:szCs w:val="32"/>
        </w:rPr>
        <w:cr/>
      </w:r>
      <w:r>
        <w:rPr>
          <w:rFonts w:hint="eastAsia" w:ascii="仿宋_GB2312" w:hAnsi="宋体" w:eastAsia="仿宋_GB2312"/>
          <w:b w:val="0"/>
          <w:bCs/>
          <w:sz w:val="32"/>
          <w:szCs w:val="32"/>
        </w:rPr>
        <w:t>　　3.继续完善预算绩效管理相关工作制度，建立全过程预算绩效管理链条，有效贯彻落实全面实施绩效管理的精神。</w:t>
      </w:r>
      <w:r>
        <w:rPr>
          <w:rFonts w:hint="eastAsia" w:ascii="仿宋_GB2312" w:hAnsi="宋体" w:eastAsia="仿宋_GB2312"/>
          <w:b w:val="0"/>
          <w:bCs/>
          <w:sz w:val="32"/>
          <w:szCs w:val="32"/>
        </w:rPr>
        <w:cr/>
      </w:r>
      <w:r>
        <w:rPr>
          <w:rFonts w:hint="eastAsia" w:ascii="仿宋_GB2312" w:hAnsi="宋体" w:eastAsia="仿宋_GB2312"/>
          <w:b w:val="0"/>
          <w:bCs/>
          <w:sz w:val="32"/>
          <w:szCs w:val="32"/>
        </w:rPr>
        <w:t>　　（二）建议</w:t>
      </w:r>
      <w:r>
        <w:rPr>
          <w:rFonts w:hint="eastAsia" w:ascii="仿宋_GB2312" w:hAnsi="宋体" w:eastAsia="仿宋_GB2312"/>
          <w:b w:val="0"/>
          <w:bCs/>
          <w:sz w:val="32"/>
          <w:szCs w:val="32"/>
        </w:rPr>
        <w:cr/>
      </w:r>
      <w:r>
        <w:rPr>
          <w:rFonts w:hint="eastAsia" w:ascii="仿宋_GB2312" w:hAnsi="宋体" w:eastAsia="仿宋_GB2312"/>
          <w:b w:val="0"/>
          <w:bCs/>
          <w:sz w:val="32"/>
          <w:szCs w:val="32"/>
        </w:rPr>
        <w:t>　　1.加强预算绩效目标管理工作。明确预算项目绩效目标编制要求，分类别建立科学合理、细化量化、可比可测预算绩效指标体系，突出结果导向，重点考核实绩。</w:t>
      </w:r>
      <w:r>
        <w:rPr>
          <w:rFonts w:hint="eastAsia" w:ascii="仿宋_GB2312" w:hAnsi="宋体" w:eastAsia="仿宋_GB2312"/>
          <w:b w:val="0"/>
          <w:bCs/>
          <w:sz w:val="32"/>
          <w:szCs w:val="32"/>
        </w:rPr>
        <w:cr/>
      </w:r>
      <w:r>
        <w:rPr>
          <w:rFonts w:hint="eastAsia" w:ascii="仿宋_GB2312" w:hAnsi="宋体" w:eastAsia="仿宋_GB2312"/>
          <w:b w:val="0"/>
          <w:bCs/>
          <w:sz w:val="32"/>
          <w:szCs w:val="32"/>
        </w:rPr>
        <w:t>　　2.加强绩效业务学习及培训，提高业务人员绩效管理意识，进一步加强预算绩效管理工作，优化项目支出绩效指标体系，完善预算绩效管理制度，有效推动我单位下一年度预算绩效管理工作常态化、规范化。</w:t>
      </w:r>
      <w:r>
        <w:rPr>
          <w:rFonts w:hint="eastAsia" w:ascii="仿宋_GB2312" w:hAnsi="宋体" w:eastAsia="仿宋_GB2312"/>
          <w:b w:val="0"/>
          <w:bCs/>
          <w:sz w:val="32"/>
          <w:szCs w:val="32"/>
        </w:rPr>
        <w:cr/>
      </w:r>
      <w:r>
        <w:rPr>
          <w:rFonts w:hint="eastAsia" w:ascii="仿宋_GB2312" w:hAnsi="宋体" w:eastAsia="仿宋_GB2312"/>
          <w:b w:val="0"/>
          <w:bCs/>
          <w:sz w:val="32"/>
          <w:szCs w:val="32"/>
        </w:rPr>
        <w:t>　　3.通过强化专业培训、学习考察、业务交流等措施，帮助和促进本单位现有人员提高绩效管理业务水平、实际工作能力。强化预算绩效执行工作，指定专人负责预算执行监督管理，进一步推动预算绩效管理工作。</w:t>
      </w:r>
      <w:r>
        <w:rPr>
          <w:rFonts w:hint="eastAsia" w:ascii="仿宋_GB2312" w:hAnsi="宋体" w:eastAsia="仿宋_GB2312"/>
          <w:b w:val="0"/>
          <w:bCs/>
          <w:sz w:val="32"/>
          <w:szCs w:val="32"/>
        </w:rPr>
        <w:cr/>
      </w:r>
      <w:r>
        <w:rPr>
          <w:rFonts w:hint="eastAsia" w:ascii="仿宋_GB2312" w:hAnsi="宋体" w:eastAsia="仿宋_GB2312"/>
          <w:b w:val="0"/>
          <w:bCs/>
          <w:sz w:val="32"/>
          <w:szCs w:val="32"/>
        </w:rPr>
        <w:t>　　4.借助第三方专业机构力量，贯彻落实全面预算绩效管理工作，建立全过程预算绩效管理链条，将绩效各个环节紧密贯通。</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449F1FF"/>
    <w:multiLevelType w:val="singleLevel"/>
    <w:tmpl w:val="D449F1FF"/>
    <w:lvl w:ilvl="0" w:tentative="0">
      <w:start w:val="1"/>
      <w:numFmt w:val="chineseCounting"/>
      <w:suff w:val="nothing"/>
      <w:lvlText w:val="（%1）"/>
      <w:lvlJc w:val="left"/>
      <w:rPr>
        <w:rFonts w:hint="eastAsia"/>
      </w:r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3604"/>
    <w:rsid w:val="001C7F2C"/>
    <w:rsid w:val="00340E58"/>
    <w:rsid w:val="003E45AA"/>
    <w:rsid w:val="00584481"/>
    <w:rsid w:val="00653C1A"/>
    <w:rsid w:val="007B51CE"/>
    <w:rsid w:val="007E47F4"/>
    <w:rsid w:val="008F0DCE"/>
    <w:rsid w:val="00916058"/>
    <w:rsid w:val="00AB72C1"/>
    <w:rsid w:val="00C10BB4"/>
    <w:rsid w:val="00CE0C6C"/>
    <w:rsid w:val="00DB647F"/>
    <w:rsid w:val="00DC7E33"/>
    <w:rsid w:val="00E8616A"/>
    <w:rsid w:val="00EB3604"/>
    <w:rsid w:val="019F12E9"/>
    <w:rsid w:val="020B07BA"/>
    <w:rsid w:val="02656D15"/>
    <w:rsid w:val="06696209"/>
    <w:rsid w:val="0D1922F1"/>
    <w:rsid w:val="108622B3"/>
    <w:rsid w:val="12C700A2"/>
    <w:rsid w:val="1438599A"/>
    <w:rsid w:val="1DE47DE5"/>
    <w:rsid w:val="200F4073"/>
    <w:rsid w:val="24B86128"/>
    <w:rsid w:val="51C70EA9"/>
    <w:rsid w:val="54F842B6"/>
    <w:rsid w:val="656071F2"/>
    <w:rsid w:val="6BF1756B"/>
    <w:rsid w:val="6F5E1AA3"/>
    <w:rsid w:val="78764BD4"/>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129</Words>
  <Characters>301</Characters>
  <Lines>2</Lines>
  <Paragraphs>1</Paragraphs>
  <TotalTime>3</TotalTime>
  <ScaleCrop>false</ScaleCrop>
  <LinksUpToDate>false</LinksUpToDate>
  <CharactersWithSpaces>308</CharactersWithSpaces>
  <Application>WPS Office_11.8.6.9023_F1E327BC-269C-435d-A152-05C5408002CA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2020-06-04T05:22:00Z</dcterms:created>
  <dc:creator>hongbing liu</dc:creator>
  <cp:lastModifiedBy>Administrator</cp:lastModifiedBy>
  <dcterms:modified xsi:type="dcterms:W3CDTF">2022-05-23T06:13:56Z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2052-11.8.6.9023</vt:lpwstr>
  </property>
  <property fmtid="{D5CDD505-2E9C-101B-9397-08002B2CF9AE}" pid="3" name="ICV">
    <vt:lpwstr>4E2A216151A24EE5A190066F518526B7</vt:lpwstr>
  </property>
</Properties>
</file>